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7658-1_4seq1.xml.htm"/>
      <w:bookmarkStart w:id="1" w:name="kstm2627658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Liu Chee Ming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F4/F5, BLDG C, SUNLAND INTERNATIONAL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999 ZHOUHAI ROAD, PUDONG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200137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GDS Holdings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  <w:r>
              <w:rPr/>
              <w:br/>
              <w:t xml:space="preserve">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9,698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31"/>
        <w:gridCol w:w="906"/>
        <w:gridCol w:w="774"/>
        <w:gridCol w:w="601"/>
        <w:gridCol w:w="351"/>
        <w:gridCol w:w="853"/>
        <w:gridCol w:w="460"/>
        <w:gridCol w:w="623"/>
        <w:gridCol w:w="1173"/>
        <w:gridCol w:w="1005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3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3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3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1,330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31,730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("ADS") represents eight (8) Class A ordinary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acquisition of ADSs upon settlement of Restricted Stock Unit ("RSU") awards fully vested immediately upon their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Chee Ming Liu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1595" TargetMode="External"/><Relationship Id="rId5" Type="http://schemas.openxmlformats.org/officeDocument/2006/relationships/hyperlink" Target="http://www.sec.gov/cgi-bin/browse-edgar?action=getcompany&amp;CIK=00015261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605</Words>
  <Characters>3292</Characters>
  <CharactersWithSpaces>3830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