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40d1_6k.htm"/>
      <w:bookmarkStart w:id="1" w:name="kstm262144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001-37925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GDS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F4/F5, Building C, Sunland International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999 Zhouhai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Shanghai 200137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95"/>
        <w:gridCol w:w="4685"/>
      </w:tblGrid>
      <w:tr>
        <w:trPr/>
        <w:tc>
          <w:tcPr>
            <w:tcW w:w="395" w:type="dxa"/>
            <w:tcBorders/>
            <w:vAlign w:val="center"/>
          </w:tcPr>
          <w:p>
            <w:pPr>
              <w:pStyle w:val="TableContents"/>
              <w:bidi w:val="0"/>
              <w:spacing w:before="0" w:after="283"/>
              <w:jc w:val="left"/>
              <w:rPr/>
            </w:pPr>
            <w:hyperlink w:anchor="tm2621440d1_ex99-1.htm">
              <w:r>
                <w:rPr>
                  <w:rStyle w:val="InternetLink"/>
                  <w:rFonts w:ascii="Times New Roman;Times;Serif" w:hAnsi="Times New Roman;Times;Serif"/>
                  <w:sz w:val="20"/>
                </w:rPr>
                <w:t>99.1</w:t>
              </w:r>
            </w:hyperlink>
          </w:p>
        </w:tc>
        <w:tc>
          <w:tcPr>
            <w:tcW w:w="4685" w:type="dxa"/>
            <w:tcBorders/>
            <w:vAlign w:val="center"/>
          </w:tcPr>
          <w:p>
            <w:pPr>
              <w:pStyle w:val="TableContents"/>
              <w:bidi w:val="0"/>
              <w:spacing w:before="0" w:after="283"/>
              <w:jc w:val="left"/>
              <w:rPr/>
            </w:pPr>
            <w:hyperlink w:anchor="tm2621440d1_ex99-1.htm">
              <w:r>
                <w:rPr>
                  <w:rStyle w:val="InternetLink"/>
                  <w:rFonts w:ascii="Times New Roman;Times;Serif" w:hAnsi="Times New Roman;Times;Serif"/>
                  <w:sz w:val="20"/>
                </w:rPr>
                <w:t>Press release – GDS Reports Second Quarter 2026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GDS Holdings Limited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Wei Huang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Wei Huang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1440d1_ex99-1.htm"/>
      <w:bookmarkStart w:id="3" w:name="kstm2621440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8990" cy="8089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990" cy="8089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 Reports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 China, August 13, 2026</w:t>
      </w:r>
      <w:r>
        <w:rPr>
          <w:rFonts w:ascii="Times New Roman;Times;Serif" w:hAnsi="Times New Roman;Times;Serif"/>
          <w:b w:val="false"/>
          <w:i w:val="false"/>
          <w:caps w:val="false"/>
          <w:smallCaps w:val="false"/>
          <w:sz w:val="20"/>
        </w:rPr>
        <w:t xml:space="preserve"> – GDS Holdings Limited (“GDS Holdings”, “GDS” or the “Company”) (NASDAQ: GDS; HKEX: 9698), a leading developer and operator of high-performance data centers in China,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increased by 6.5% year-over-year (“Y-o-Y”) to RMB3,088.0 million (US$455.1 million) in the second quarter of 2026 (2Q2025: RMB2,900.3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was RMB837.6 million (US$123.5 million) in the second quarter of 2026 (2Q2025: net loss of RMB70.6 million).</w:t>
            </w:r>
          </w:p>
        </w:tc>
      </w:tr>
    </w:tbl>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margin was 27.1% in the second quarter of 2026 (2Q2025: net loss margin of 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(non-GAAP) increased by 2.5% Y-o-Y to RMB1,406.0 million (US$207.2 million) in the second quarter of 2026 (2Q2025: RMB1,371.8 million).</w:t>
            </w:r>
          </w:p>
        </w:tc>
      </w:tr>
    </w:tbl>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1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margin (non-GAAP) was 45.5% in the second quarter of 2026 (2Q2025: 47.3%).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2026 Operating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area committed and pre-committed increased by 18.2% Y-o-Y to 784,802 sqm as of June 30, 2026 (June 30, 2025: 663,959 sqm).</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1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utilized increased by 13.2% Y-o-Y to 542,236 sqm as of June 30, 2026 (June 30, 2025: 479,186 sqm).</w:t>
            </w:r>
          </w:p>
        </w:tc>
      </w:tr>
    </w:tbl>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in service increased by 10.8% Y-o-Y to 684,977 sqm as of June 30, 2026 (June 30, 2025: 618,060 sqm)</w:t>
            </w:r>
          </w:p>
        </w:tc>
      </w:tr>
    </w:tbl>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1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rate (area utilized divided by area in service) was 79.2% as of June 30, 2026 (June 30, 2025: 77.5%).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solid financial and operational results in the second quarter of 2026, reflecting our continued commitment to disciplined execution,” said Mr. William Huang, Chairman and Chief Executive Officer of GDS. “During the quarter, we ramped up backlog delivery while maintaining a high level of net new bookings. As things stand today, we are on track to achieving a record sales commitment for this year, which is much higher than our original target. We are very excited about the opportunities in China ahead of us, driven mainly by AI demand. We are confident in our ability to capture these massive opportunities and expand our business at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we grew revenue by 6.5% and adjusted EBITDA by 2.5% year-over-year, yielding an adjusted EBITDA margin of 45.5%,” added Mr. Dan Newman, Chief Financial Officer. “With strengthened financial standing and funding capabilities to support our business expansion, we remain focused on creating sustainable, long-term value for our business partners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in the second quarter of 2026 was RMB3,088.0 million (US$455.1 million), a 6.5% increase over the same period last year of RMB2,900.3 million. The Y-o-Y increase was mainly due to continued ramp-up of our data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 the second quarter of 2026 was RMB2,423.7 million (US$357.2 million), a 9.6% increase over the same period last year of RMB2,211.4 million. The Y-o-Y increase was in line with the continued ramp-up of our data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RMB664.2 million (US$97.9 million) in the second quarter of 2026, a 3.6% decrease over the same period last year of RMB688.9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was 21.5% in the second quarter of 2026, compared with 23.8% in the same period last year. The Y-o-Y decline was mainly due to a higher level of utility costs as a percentage of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 (“Adjusted GP”) (non-GAAP) is defined as gross profit excluding depreciation and amortization, operating lease cost relating to prepaid land use rights, accretion expenses for asset retirement costs and share-based compensation expenses allocated to cost of revenue. Adjusted GP was RMB1,498.9 million (US$220.9 million) in the second quarter of 2026, a 0.7% decrease over the same period last year of RMB1,509.5 million. See “Non-GAAP Disclosure” and “Reconciliations of GAAP and non-GAAP results” elsewhere in this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GP margin (non-GAAP) was 48.5% in the second quarter of 2026, compared with 52.0% in the same period last year. The Y-o-Y decrease was mainly due to a higher level of utility costs as a percentage of net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excluding share-based compensation expenses of RMB9.9 million (US$1.5 million), were RMB22.3 million (US$3.3 million) in the second quarter of 2026, a 21.7% decrease over the same period last year of RMB28.5 million (excluding share-based compensation of RMB5.5 million). The Y-o-Y decrease was mainly due to lower level of personnel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excluding share-based compensation expenses of RMB35.4 million (US$5.2 million), depreciation and amortization expenses of RMB51.0 million (US$7.5 million) and operating lease cost relating to prepaid land use rights of RMB13.9 million (US$2.0 million), were RMB85.5 million (US$12.6 million) in the second quarter of 2026, a 24.4% decrease over the same period last year of RMB113.0 million (excluding share-based compensation expenses of RMB40.4 million, depreciation and amortization expenses of RMB62.6 million and operating lease cost relating to prepaid land use rights of RMB15.6 million). The Y-o-Y decrease was mainly due to the decrease of allowance in credit losses and greater gain on disposal of certain equipment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were RMB7.1 million (US$1.0 million) in the second quarter of 2026, compared with RMB8.8 million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 for the second quarter of 2026 were RMB366.8 million (US$54.1 million), a 9.4% decrease over the same period last year of RMB405.0 million. The Y-o-Y decrease was mainly due to lower interest rates as well as higher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 for the second quarter of 2026 was RMB1.0 million (US$0.2 million), compared with foreign currency exchange gain of RMB1.4 million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net for the second quarter of 2026 was RMB17.8 million (US$2.6 million), compared with RMB9.2 million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 for the second quarter of 2026 were RMB213.5 million (US$31.5 million), compared with RMB64.9 million in the same period last year. The Y-o-Y increase was mainly due to the income tax incurred as a result of intra-group transfer of interests in a subsidiary in preparation for the potential second asset injection into the C-REIT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equity method investees for the second quarter of 2026 was an income of RMB959.9 million (US$141.5 million), mainly arising from the dilution gain on our investment in DayOne Data Centers Limited (“DayOne”) following the completion of DayOne’s Series C Convertible Preferred Share issue during the second quarter of 2026, compared with a loss of RMB25.9 million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second quarter of 2026 was RMB837.6 million (US$123.5 million), compared with net loss of RMB70.6 million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per ordinary share in the second quarter of 2026 was RMB0.52 (US$0.08), compared with basic loss of RMB0.06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per ordinary share in the second quarter of 2026 was RMB0.44 (US$0.07), compared with diluted loss of RMB0.06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per American Depositary Share (“ADS”) in the second quarter of 2026 was RMB4.13 (US$0.61), compared with basic loss of RMB0.46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per American Depositary Share (“ADS”) in the second quarter of 2026 was RMB3.53 (US$0.52), compared with diluted loss of RMB0.46 in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(non-GAAP) is defined as net income (loss) excluding net interest expenses, income tax expenses (benefits), depreciation and amortization, operating lease cost relating to prepaid land use rights, accretion expenses for asset retirement costs, share-based compensation expenses, share of results of equity method investees and gain on deconsolidation of subsidiaries. Adjusted EBITDA was RMB1,406.0 million (US$207.2 million) in the second quarter of 2026, a 2.5% increase over the same period last year of RMB1,371.8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margin (non-GAAP) was 45.5% in the second quarter of 2026, compared with 47.3% in the same period last year. The Y-o-Y decrease was mainly due to a higher level of utility costs as percentage of net revenue, which was partially offset by cost savings at the corporate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were RMB14,927.3 million (US$2,200.0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short-term debt was RMB9,209.5 million (US$1,357.3 million), comprised of short-term borrowings and the current portion of long-term borrowings of RMB3,327.3 million (US$490.4 million), current portion of convertible bonds payable of RMB4,219.0 million (US$621.8 million) and the current portion of finance lease and other financing obligations of RMB1,663.1 million (US$245.1 million). Total long-term debt was RMB36,921.5 million (US$5,441.6 million), comprised of long-term borrowings (excluding current portion) of RMB24,024.5 million (US$3,540.8 million), non-current portion of convertible bonds payable of RMB7,573.9 million (US$1,116.3 million) and the non-current portion of finance lease and other financing obligations of RMB5,323.1 million (US$784.5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the Company obtained new debt financing and refinancing facilities of RMB4,907.3 million (US$723.2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Quarter 2026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area committed and pre-committed at the end of the second quarter of 2026 was 784,802 sqm, compared with 663,959 sqm at the end of the second quarter of 2025 and 725,485 sqm at the end of the first quarter of 2026, an increase of 18.2% Y-o-Y and an increase of 8.2% quarter-over-quarter (“Q-o-Q”), respectively. In the second quarter of 2026, both gross and net additional total area committed were 59,317 sqm.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Center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in service at the end of the second quarter of 2026 was 684,977 sqm, compared with 618,060 sqm at the end of the second quarter of 2025 and 674,269 sqm at the end of the first quarter of 2026, an increase of 10.8% Y-o-Y and an increase of 1.6% Q-o-Q,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under construction at the end of the second quarter of 2026 was 170,355 sqm, compared with 132,235 sqm at the end of the second quarter of 2025 and 118,411 sqm at the end of the first quarter of 2026, an increase of 28.8% Y-o-Y and an increase of 43.9% Q-o-Q,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rate for area in service was 92.4% at the end of the second quarter of 2026, compared with 91.5% at the end of the second quarter of 2025 and 92.8% at the end of the first quarter of 2026. Pre-commitment rate for area under construction was 89.2% at the end of the second quarter of 2026, compared with 74.7% at the end of the second quarter of 2025 and 84.4% at the end of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Move-In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utilized at the end of the second quarter of 2026 was 542,236 sqm, compared with 479,186 sqm at the end of the second quarter of 2025 and 520,929 sqm at the end of the first quarter of 2026, an increase of 13.2% Y-o-Y and an increase of 4.1% Q-o-Q, respectively. In the second quarter of 2026, gross additional area utilized was 24,841 sqm. Net additional area utilized was 21,307 sqm.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rate for area in service was 79.2% at the end of the second quarter of 2026, compared with 77.5% at the end of the second quarter of 2025 and 77.3% at the end of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Updated 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revises the previously provided guidance of total revenues for the year of 2026 of RMB12,400 million – RMB12,900 million to RMB12,700 million – RMB13,000 million, representing a Y-o-Y increase of between 11.1% to 13.7%; and the previously provided guidance of Adjusted EBITDA of RMB5,750 million – RMB6,000 million to RMB5,900 million – RMB6,100 million, representing an increase of between 9.2% to 12.9%, both including the one-time items as disclosed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revises its previously provided capex guidance of around RMB9,000 million to around RMB10,000 million. The increase in capex guidance reflects the Company’s strong sales achievement, the current sales outlook, and the corresponding increase in the Company’s data center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forecast reflects the Company’s preliminary view on the current business situation and market conditions,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hold a conference call at 8:00 a.m. U.S. Eastern Time on August 13, 2026 (8:00 p.m. Beijing Time on August 13, 2026) to discuss financial results and answer questions from investors and analysts.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should complete online registration using the link provided below at least 15 minutes before the scheduled start time. Upon registration, participants will receive the conference call access information, including dial-in numbers, a personal PIN and an e-mail with detailed instructions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https://register-conf.media-server.com/register/BIa59ef86a877c4e48a19406f31a538f85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https://investors.gds-services.com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board of directors use Adjusted EBITDA, Adjusted EBITDA margin, Adjusted GP and Adjusted GP margin, which are non-GAAP financial measures, to evaluate our operating performance, establish budgets and develop operational goals for managing our business. We believe that the exclusion of the income and expenses eliminated in calculating Adjusted EBITDA and Adjusted GP can provide useful and supplemental measures of our core operating performance. In particular, we believe that the use of Adjusted EBITDA as a supplemental performance measure captures the trend in our operating performance by excluding from our operating results the impact of our capital structure (primarily interest expense), asset base charges (primarily depreciation and amortization, operating lease cost relating to prepaid land use rights, accretion expenses for asset retirement costs and impairment losses of long-lived assets), other non-cash expenses (primarily share-based compensation expenses), and other income and expenses which we believe are not reflective of our operating performance (primarily gain or loss on deconsolidation of subsidiaries and share of results of equity method investees), whereas the use of adjusted gross profit as a supplemental performance measure captures the trend in gross profit performance of our data centers in service by excluding from our gross profit the impact of asset base charges (primarily depreciation and amortization, operating lease cost relating to prepaid land use rights and accretion expenses for asset retirement costs) and other non-cash expenses (primarily share-based compensation expenses) included in cost of revenue. In addition, we exclude the income (loss) from discontinued operations from our Adjusted EBITDA and Adjusted EBITDA margin to measure our financial performance from continuing operations, which will be consistent with our future financial performance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depreciation and amortization is a fixed cost which commences as soon as each data center enters service. However, it usually takes several years for new data centers to reach high levels of utilization and profitability. The Company incurs significant depreciation and amortization costs for its early stage data center assets. Accordingly, gross profit, which is a measure of profitability after taking into account depreciation and amortization, does not accurately reflect the Company’s core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present these non-GAAP measures because we believe these non-GAAP measures are frequently used by securities analysts, investors and other interested parties as measures of the financial performance of companies in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defined under U.S. GAAP and are not presented in accordance with U.S. GAAP. These non-GAAP financial measures have limitations as analytical tools, and when assessing our operating performance, cash flows or our liquidity, investors should not consider them in isolation, or as a substitute for gross profit, net income (loss), cash flows provided by (used in) operating activities or other consolidated statements of operations and cash flow data prepared in accordance with U.S. GAAP. There are a number of limitations related to the use of these non-GAAP financial measures instead of their nearest GAAP equivalent. First, Adjusted EBITDA, Adjusted EBITDA margin, Adjusted GP, and Adjusted GP margin are not substitutes for gross profit, net income (loss), cash flows provided by (used in) operating activities or other consolidated statements of operation and cash flow data prepared in accordance with U.S. GAAP. Second, other companies may calculate these non-GAAP financial measures differently or may use other measures to evaluate their performance, all of which could reduce the usefulness of these non-GAAP financial measures as tools for comparison. Finally, these non-GAAP financial measures do not reflect the impact of income (loss) from discontinued operations, net interest expenses, incomes tax benefits (expenses), depreciation and amortization, operating lease cost relating to prepaid land use rights, accretion expenses for asset retirement costs, share-based compensation expenses, impairment losses of long-lived assets, gain on deconsolidation of subsidiaries and share of results of equity method investees, each of which have been and may continue to be incurred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mitigate these limitations by reconciling the non-GAAP financial measure to the most comparable U.S. GAAP performance measure, all of which should be considered when evaluating our performance. We do not provide forward-looking guidance for certain financial data, such as depreciation, amortization, accretion, share-based compensation, share of results of equity method investees and net income (loss); the impact of such data and related adjustments can be significant. As a result, we are not able to provide a reconciliation of forward-looking U.S. GAAP to forward-looking non-GAAP financial measures without unreasonable effort. Such forward-looking non-GAAP financial measures include the forecast for Adjusted EBITDA in the section captioned “Business Outlook” set forth in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these non-GAAP financial measures, please see the table captioned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(“USD”) at specified rates solely for the convenience of the reader. Unless otherwise stated, all translations from RMB to USD were made at the rate of RMB6.7851 to US$1.00, the noon buying rate in effect on June 30, 2026 in the H.10 statistical release of the Federal Reserve Board. The Company makes no representation that the RMB or USD amounts referred could be converted into USD or RMB,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Statement Regarding Preliminary Unaudited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GDS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 (NASDAQ: GDS; HKEX: 9698) is a leading developer and operator of high-performance data centers in China. The Company’s facilities are strategically located across the key hubs where demand for high-performance data center services is concentrated. The Company’s data centers have large net floor area, high power capacity, density and efficiency, and multiple redundancies across all critical systems. The Company is carrier and cloud-neutral, which enables its customers to access the major telecommunications networks, as well as the largest PRC and global public clouds, which are hosted in many of its facilities. The Company has a 26-year track record of service delivery, successfully fulfilling the requirements of some of the largest and most demanding customers for outsourced data center services in China. The Company’s customer base consists predominantly of hyperscale cloud service providers, large internet companies, financial institutions, telecommunications carriers, IT service providers, and large domestic private sector and multinational corporations. The Company also holds a minority equity interest in DayOne Data Centers Limited, an independent Singapore-headquartered hyperscale data center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“aim,” “anticipate,” “believe,” “continue,” “estimate,” “expect,” “future,” “guidance,” “intend,” “is/are likely to,” “may,” “ongoing,” “plan,” “potential,” “target,” “will,” and similar statements. Among other things, statements that are not historical facts, including statements about GDS Holdings’ beliefs and expectations regarding the growth of its businesses and its revenue for the full fiscal year, the business outlook and quotations from management in this announcement, as well as GDS Holdings’ strategic and operational plans, are or contain forward-looking statements. GDS Holdings may also make written or oral forward-looking statements in its periodic reports to the U.S. Securities and Exchange Commission (the “SEC”) on Forms 20-F and 6-K, in its current, interim and annual reports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Forward-looking statements involve inherent risks and uncertainties. A number of factors could cause GDS Holdings’ actual results or financial performance to differ materially from those contained in any forward-looking statement, including but not limited to the following: GDS Holdings’ goals and strategies; GDS Holdings’ future business development, financial condition and results of operations; the expected growth of the market for high-performance data centers, data center solutions and related services in China and regions in which GDS Holdings’ major equity investees operate, such as South East Asia; GDS Holdings’ expectations regarding demand for and market acceptance of its high-performance data centers, data center solutions and related services; GDS Holdings’ expectations regarding building, strengthening and maintaining its relationships with new and existing customers; the results of operations, growth prospects, financial condition, regulatory environment, competitive landscape and other uncertainties associated with the business and operations of GDS Holdings’ major equity investee DayOne; the continued adoption of cloud computing and cloud service providers in China and other major markets that may impact the results of our equity investees, such as South East Asia; risks and uncertainties associated with increased investments in GDS Holdings’ business and new data center initiatives; risks and uncertainties associated with strategic acquisitions and investments; GDS Holdings’ ability to maintain or grow its revenue or business; fluctuations in GDS Holdings’ operating results; changes in laws, regulations and regulatory environment that affect GDS Holdings’ business operations and those of its major equity investees; competition in GDS Holdings’ industry in China and in markets that affect the business operations of its major equity investees, such as South East Asia; GDS Holdings’ ability to monetize its existing data center assets through transactions such as public REITs, ABS Schemes, data center funds, joint ventures, sale and lease-back arrangements and private asset sales; security breaches; power outages; and fluctuations in general economic and business conditions in China and globally, and assumptions underlying or related to any of the foregoing. Further information regarding these and other risks, uncertainties or factors is included in GDS Holdings’ filings with the SEC, including its annual report on Form 20-F, and with the Hong Kong Stock Exchange. All information provided in this press release is as of the date of this press release and are based on assumptions that GDS Holdings believes to be reasonable as of such date, and GDS Holdings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Chen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 (21) 2029-2203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ir@gds-services.com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Warner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 (10) 6508-0677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GDS@tpg-ir.com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481-2050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GDS@tpg-ir.com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ind w:left="0" w:right="0" w:hanging="0"/>
        <w:jc w:val="left"/>
        <w:rPr>
          <w:caps w:val="false"/>
          <w:smallCaps w:val="false"/>
        </w:rPr>
      </w:pPr>
      <w:r>
        <w:rPr>
          <w:caps w:val="false"/>
          <w:smallCaps w:val="false"/>
        </w:rPr>
        <w:t> </w:t>
      </w:r>
    </w:p>
    <w:tbl>
      <w:tblPr>
        <w:tblW w:w="10024" w:type="dxa"/>
        <w:jc w:val="left"/>
        <w:tblInd w:w="0" w:type="dxa"/>
        <w:tblLayout w:type="fixed"/>
        <w:tblCellMar>
          <w:top w:w="0" w:type="dxa"/>
          <w:left w:w="0" w:type="dxa"/>
          <w:bottom w:w="0" w:type="dxa"/>
          <w:right w:w="0" w:type="dxa"/>
        </w:tblCellMar>
      </w:tblPr>
      <w:tblGrid>
        <w:gridCol w:w="5465"/>
        <w:gridCol w:w="60"/>
        <w:gridCol w:w="123"/>
        <w:gridCol w:w="1981"/>
        <w:gridCol w:w="80"/>
        <w:gridCol w:w="60"/>
        <w:gridCol w:w="60"/>
        <w:gridCol w:w="950"/>
        <w:gridCol w:w="80"/>
        <w:gridCol w:w="60"/>
        <w:gridCol w:w="60"/>
        <w:gridCol w:w="950"/>
        <w:gridCol w:w="95"/>
      </w:tblGrid>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14,305,958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14,927,348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2,467,358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Value-added-tax (“VAT”) recoverable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5,377,026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792,475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18,547,457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23,456,003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3,456,986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 in equity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10,052,348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10,157,383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1,497,013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38,053,824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38,734,730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5,708,793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4,831,624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4,819,090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710,246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5,461,058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5,386,610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793,888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3,230,081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476,055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61,451,041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62,332,661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9,186,698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79,998,498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85,788,664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12,643,684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Equity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and current portion of 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2,951,734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3,327,344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490,390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bonds payable,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4,219,035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621,809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1,932,177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2,390,872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352,371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1,456,855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and other financing obligations,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7,128,359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13,152,437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1,938,430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 excluding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23,363,213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24,024,451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3,540,766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bonds payable,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12,144,371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7,573,947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1,116,262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and other financing obligations,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7,053,979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5,323,120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784,531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1,319,264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45,133,078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39,392,460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5,805,730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52,261,437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52,544,897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7,744,160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3,070,157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452,485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GDS Holdings Limited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31,706,498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31,820,587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4,689,774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(939,565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(5,094,729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(1,610,813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GDS Holdings Limited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25,783,012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29,270,778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4,313,978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902,832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26,680,398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30,173,610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4,447,039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79,998,498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85,788,664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12,643,684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1205" w:type="dxa"/>
        <w:jc w:val="left"/>
        <w:tblInd w:w="0" w:type="dxa"/>
        <w:tblLayout w:type="fixed"/>
        <w:tblCellMar>
          <w:top w:w="0" w:type="dxa"/>
          <w:left w:w="0" w:type="dxa"/>
          <w:bottom w:w="0" w:type="dxa"/>
          <w:right w:w="0" w:type="dxa"/>
        </w:tblCellMar>
      </w:tblPr>
      <w:tblGrid>
        <w:gridCol w:w="1355"/>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95"/>
      </w:tblGrid>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2,898,398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3,366,680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5,621,306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6,453,347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951,106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2,900,288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3,367,099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3,087,950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5,623,446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6,455,049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951,357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(2,211,362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(2,235,580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(2,423,742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(357,215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(4,289,695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(4,659,322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(686,699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688,926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1,131,519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664,208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1,333,751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1,795,727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264,658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(470,472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907,959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779,823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1,347,130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198,543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(846,466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(746,663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deconsolidation of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 and share of results of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624,330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105,463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959,916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3,096,429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(70,584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2,652,137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123,451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3,489,761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attributable to GDS Holdings Limited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(72,300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2,648,702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835,214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3,483,916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513,467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dividend on redeemable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available to GDS Holdings Limited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(85,921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2,624,181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802,826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663,645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3,427,007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505,080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per 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1,500,872,881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1,554,302,551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1,555,075,833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1,555,075,833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1,492,610,864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1,554,691,328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1,554,691,328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1,500,872,881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2,031,672,616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2,075,789,317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2,075,789,317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1,665,829,316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2,032,226,169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2,032,226,169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3"/>
        <w:gridCol w:w="60"/>
        <w:gridCol w:w="71"/>
        <w:gridCol w:w="826"/>
        <w:gridCol w:w="80"/>
        <w:gridCol w:w="60"/>
        <w:gridCol w:w="69"/>
        <w:gridCol w:w="982"/>
        <w:gridCol w:w="80"/>
        <w:gridCol w:w="60"/>
        <w:gridCol w:w="60"/>
        <w:gridCol w:w="755"/>
        <w:gridCol w:w="80"/>
        <w:gridCol w:w="60"/>
        <w:gridCol w:w="60"/>
        <w:gridCol w:w="695"/>
        <w:gridCol w:w="80"/>
        <w:gridCol w:w="60"/>
        <w:gridCol w:w="71"/>
        <w:gridCol w:w="826"/>
        <w:gridCol w:w="80"/>
        <w:gridCol w:w="60"/>
        <w:gridCol w:w="60"/>
        <w:gridCol w:w="845"/>
        <w:gridCol w:w="80"/>
        <w:gridCol w:w="60"/>
        <w:gridCol w:w="60"/>
        <w:gridCol w:w="695"/>
        <w:gridCol w:w="97"/>
      </w:tblGrid>
      <w:tr>
        <w:trPr/>
        <w:tc>
          <w:tcPr>
            <w:tcW w:w="3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3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2,652,137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3,489,761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514,328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net of 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reclassified from 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from share of results of equity method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(332,225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(48,964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2,611,784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767,332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841,159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3,379,116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498,021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attributable to GDS Holdings Limited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2,608,582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765,088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112,761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3,373,670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497,218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1"/>
        <w:gridCol w:w="60"/>
        <w:gridCol w:w="61"/>
        <w:gridCol w:w="976"/>
        <w:gridCol w:w="80"/>
        <w:gridCol w:w="60"/>
        <w:gridCol w:w="63"/>
        <w:gridCol w:w="1000"/>
        <w:gridCol w:w="80"/>
        <w:gridCol w:w="60"/>
        <w:gridCol w:w="60"/>
        <w:gridCol w:w="950"/>
        <w:gridCol w:w="80"/>
        <w:gridCol w:w="60"/>
        <w:gridCol w:w="60"/>
        <w:gridCol w:w="845"/>
        <w:gridCol w:w="80"/>
        <w:gridCol w:w="60"/>
        <w:gridCol w:w="61"/>
        <w:gridCol w:w="976"/>
        <w:gridCol w:w="80"/>
        <w:gridCol w:w="60"/>
        <w:gridCol w:w="60"/>
        <w:gridCol w:w="950"/>
        <w:gridCol w:w="80"/>
        <w:gridCol w:w="60"/>
        <w:gridCol w:w="60"/>
        <w:gridCol w:w="845"/>
        <w:gridCol w:w="97"/>
      </w:tblGrid>
      <w:tr>
        <w:trPr/>
        <w:tc>
          <w:tcPr>
            <w:tcW w:w="22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3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2,652,137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3,489,761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514,328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248,079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issuance cost and debt discount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equity method investees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(2,136,513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(959,916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(3,096,429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(456,357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deconsolidation of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644,913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(375,481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(55,338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1,416,260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208,731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1,645,195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1,863,951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274,714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 and land use rights, net of proceeds from disposals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(1,264,798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(770,045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(1,249,766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(2,274,126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(2,019,811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(297,683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Receipts related to acquisitions and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2,694,346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540,187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2,706,090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398,828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(4,414,802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(4,724,017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(696,234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96,880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(364,526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(1,833,158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(1,547,237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(228,035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(1,733,939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(3,380,395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(498,209</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5,144,746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1,881,331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45,413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5,419,778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2,189,461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322,686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(22,436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of cash and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416,522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5,315,119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76,755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7,778,979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14,441,027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14,857,549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2,189,732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8,093,530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14,441,027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2,128,344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as assets of disposal group classified as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13,321,389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14,857,549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14,961,815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2,205,099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13,321,389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14,961,815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2,205,099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GAAP AND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percentage data)</w:t>
      </w:r>
    </w:p>
    <w:p>
      <w:pPr>
        <w:pStyle w:val="TextBody"/>
        <w:bidi w:val="0"/>
        <w:spacing w:before="0" w:after="0"/>
        <w:ind w:left="0" w:right="0" w:hanging="0"/>
        <w:jc w:val="left"/>
        <w:rPr>
          <w:caps w:val="false"/>
          <w:smallCaps w:val="false"/>
        </w:rPr>
      </w:pPr>
      <w:r>
        <w:rPr>
          <w:caps w:val="false"/>
          <w:smallCaps w:val="false"/>
        </w:rPr>
        <w:t> </w:t>
      </w:r>
    </w:p>
    <w:tbl>
      <w:tblPr>
        <w:tblW w:w="12140" w:type="dxa"/>
        <w:jc w:val="left"/>
        <w:tblInd w:w="0" w:type="dxa"/>
        <w:tblLayout w:type="fixed"/>
        <w:tblCellMar>
          <w:top w:w="0" w:type="dxa"/>
          <w:left w:w="0" w:type="dxa"/>
          <w:bottom w:w="0" w:type="dxa"/>
          <w:right w:w="0" w:type="dxa"/>
        </w:tblCellMar>
      </w:tblPr>
      <w:tblGrid>
        <w:gridCol w:w="1175"/>
        <w:gridCol w:w="60"/>
        <w:gridCol w:w="60"/>
        <w:gridCol w:w="845"/>
        <w:gridCol w:w="60"/>
        <w:gridCol w:w="60"/>
        <w:gridCol w:w="94"/>
        <w:gridCol w:w="601"/>
        <w:gridCol w:w="60"/>
        <w:gridCol w:w="60"/>
        <w:gridCol w:w="60"/>
        <w:gridCol w:w="845"/>
        <w:gridCol w:w="60"/>
        <w:gridCol w:w="60"/>
        <w:gridCol w:w="94"/>
        <w:gridCol w:w="601"/>
        <w:gridCol w:w="60"/>
        <w:gridCol w:w="60"/>
        <w:gridCol w:w="60"/>
        <w:gridCol w:w="845"/>
        <w:gridCol w:w="60"/>
        <w:gridCol w:w="60"/>
        <w:gridCol w:w="60"/>
        <w:gridCol w:w="695"/>
        <w:gridCol w:w="60"/>
        <w:gridCol w:w="60"/>
        <w:gridCol w:w="94"/>
        <w:gridCol w:w="601"/>
        <w:gridCol w:w="60"/>
        <w:gridCol w:w="60"/>
        <w:gridCol w:w="60"/>
        <w:gridCol w:w="845"/>
        <w:gridCol w:w="60"/>
        <w:gridCol w:w="60"/>
        <w:gridCol w:w="94"/>
        <w:gridCol w:w="601"/>
        <w:gridCol w:w="60"/>
        <w:gridCol w:w="60"/>
        <w:gridCol w:w="60"/>
        <w:gridCol w:w="845"/>
        <w:gridCol w:w="60"/>
        <w:gridCol w:w="60"/>
        <w:gridCol w:w="60"/>
        <w:gridCol w:w="695"/>
        <w:gridCol w:w="60"/>
        <w:gridCol w:w="60"/>
        <w:gridCol w:w="94"/>
        <w:gridCol w:w="601"/>
        <w:gridCol w:w="75"/>
      </w:tblGrid>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7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3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688,926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1,131,519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664,208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97,892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1,333,751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1,795,727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800,127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1,584,369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relating to prepaid land use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expenses for asset retirement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GP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1,509,502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1,952,038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1,498,863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220,906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2,964,924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3,450,901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GDS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GAAP AND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of Renminbi ("RMB") and US dollars ("US$")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percentage data)</w:t>
      </w:r>
    </w:p>
    <w:p>
      <w:pPr>
        <w:pStyle w:val="TextBody"/>
        <w:bidi w:val="0"/>
        <w:spacing w:before="0" w:after="0"/>
        <w:ind w:left="0" w:right="0" w:hanging="0"/>
        <w:jc w:val="left"/>
        <w:rPr>
          <w:caps w:val="false"/>
          <w:smallCaps w:val="false"/>
        </w:rPr>
      </w:pPr>
      <w:r>
        <w:rPr>
          <w:caps w:val="false"/>
          <w:smallCaps w:val="false"/>
        </w:rPr>
        <w:t> </w:t>
      </w:r>
    </w:p>
    <w:tbl>
      <w:tblPr>
        <w:tblW w:w="12860" w:type="dxa"/>
        <w:jc w:val="left"/>
        <w:tblInd w:w="0" w:type="dxa"/>
        <w:tblLayout w:type="fixed"/>
        <w:tblCellMar>
          <w:top w:w="0" w:type="dxa"/>
          <w:left w:w="0" w:type="dxa"/>
          <w:bottom w:w="0" w:type="dxa"/>
          <w:right w:w="0" w:type="dxa"/>
        </w:tblCellMar>
      </w:tblPr>
      <w:tblGrid>
        <w:gridCol w:w="1355"/>
        <w:gridCol w:w="60"/>
        <w:gridCol w:w="60"/>
        <w:gridCol w:w="845"/>
        <w:gridCol w:w="80"/>
        <w:gridCol w:w="60"/>
        <w:gridCol w:w="94"/>
        <w:gridCol w:w="601"/>
        <w:gridCol w:w="80"/>
        <w:gridCol w:w="60"/>
        <w:gridCol w:w="60"/>
        <w:gridCol w:w="905"/>
        <w:gridCol w:w="80"/>
        <w:gridCol w:w="60"/>
        <w:gridCol w:w="83"/>
        <w:gridCol w:w="612"/>
        <w:gridCol w:w="80"/>
        <w:gridCol w:w="60"/>
        <w:gridCol w:w="60"/>
        <w:gridCol w:w="845"/>
        <w:gridCol w:w="80"/>
        <w:gridCol w:w="60"/>
        <w:gridCol w:w="60"/>
        <w:gridCol w:w="755"/>
        <w:gridCol w:w="80"/>
        <w:gridCol w:w="60"/>
        <w:gridCol w:w="83"/>
        <w:gridCol w:w="612"/>
        <w:gridCol w:w="80"/>
        <w:gridCol w:w="60"/>
        <w:gridCol w:w="60"/>
        <w:gridCol w:w="905"/>
        <w:gridCol w:w="80"/>
        <w:gridCol w:w="60"/>
        <w:gridCol w:w="83"/>
        <w:gridCol w:w="612"/>
        <w:gridCol w:w="80"/>
        <w:gridCol w:w="60"/>
        <w:gridCol w:w="60"/>
        <w:gridCol w:w="905"/>
        <w:gridCol w:w="80"/>
        <w:gridCol w:w="60"/>
        <w:gridCol w:w="60"/>
        <w:gridCol w:w="755"/>
        <w:gridCol w:w="80"/>
        <w:gridCol w:w="60"/>
        <w:gridCol w:w="83"/>
        <w:gridCol w:w="612"/>
        <w:gridCol w:w="95"/>
      </w:tblGrid>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1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9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of net </w:t>
              <w:br/>
              <w:t>revenue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2,652,137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837,624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693,490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3,489,761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404,989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equity method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(2,136,513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(959,916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(3,096,429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(456,357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deconsolidation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(1,057,045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relating to prepaid land use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expenses for asset retirement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1,371,793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1,948,686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1,405,952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207,213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2,695,640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3,354,638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5722</Words>
  <Characters>32407</Characters>
  <CharactersWithSpaces>39500</CharactersWithSpaces>
  <Paragraphs>3720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