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001-37925</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GDS Holdings Limited</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F4/F5, Building C, Sunland International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999 Zhouhai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Pudong, Shanghai 200137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0"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Announcement – Record Date for Annual General Meeting of Shareholders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GDS Holdings Limited</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Wei Huang</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Wei Huang</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The Stock Exchange of Hong Kong Limited (the “</w:t>
      </w:r>
      <w:r>
        <w:rPr>
          <w:rFonts w:ascii="Times New Roman" w:cs="Times New Roman" w:eastAsia="Times New Roman" w:hAnsi="Times New Roman"/>
          <w:sz w:val="18"/>
          <w:szCs w:val="18"/>
          <w:b w:val="1"/>
          <w:bCs w:val="1"/>
          <w:i w:val="1"/>
          <w:iCs w:val="1"/>
          <w:color w:val="auto"/>
        </w:rPr>
        <w:t>Hong Kong Stock Exchange</w:t>
      </w:r>
      <w:r>
        <w:rPr>
          <w:rFonts w:ascii="Times New Roman" w:cs="Times New Roman" w:eastAsia="Times New Roman" w:hAnsi="Times New Roman"/>
          <w:sz w:val="18"/>
          <w:szCs w:val="18"/>
          <w:i w:val="1"/>
          <w:iCs w:val="1"/>
          <w:color w:val="auto"/>
        </w:rPr>
        <w:t>”) and Hong Kong Securities Clearing Company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GDS Holdings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is controlled through weighted voting rights. Shareholders and prospective investors should be aware of the potential risks of investing in a company with a weighted voting right, or WVR, structure. Particularly, the WVR beneficiary, whose interests may not necessarily be aligned with those of our shareholders as a whole, will be in a position to exert significant influence over the outcome of shareholders’ resolutions, irrespective of how other shareholders vote. Our American depositary shares, each representing eight of our Class A ordinary shares, are listed on the Nasdaq Global Market in the United States under the symbol GDS.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127635</wp:posOffset>
            </wp:positionV>
            <wp:extent cx="3008630" cy="1011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863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31" w:lineRule="exact"/>
        <w:rPr>
          <w:sz w:val="20"/>
          <w:szCs w:val="20"/>
          <w:color w:val="auto"/>
        </w:rPr>
      </w:pPr>
    </w:p>
    <w:p>
      <w:pPr>
        <w:jc w:val="center"/>
        <w:spacing w:after="0" w:line="219" w:lineRule="exact"/>
        <w:rPr>
          <w:sz w:val="20"/>
          <w:szCs w:val="20"/>
          <w:color w:val="auto"/>
        </w:rPr>
      </w:pPr>
      <w:r>
        <w:rPr>
          <w:rFonts w:ascii="PMingLiU" w:cs="PMingLiU" w:eastAsia="PMingLiU" w:hAnsi="PMingLiU"/>
          <w:sz w:val="18"/>
          <w:szCs w:val="18"/>
          <w:color w:val="auto"/>
          <w:highlight w:val="black"/>
        </w:rPr>
        <w:t>萬 國</w:t>
      </w:r>
      <w:r>
        <w:rPr>
          <w:rFonts w:ascii="Times New Roman" w:cs="Times New Roman" w:eastAsia="Times New Roman" w:hAnsi="Times New Roman"/>
          <w:sz w:val="18"/>
          <w:szCs w:val="18"/>
          <w:b w:val="1"/>
          <w:bCs w:val="1"/>
          <w:color w:val="auto"/>
        </w:rPr>
        <w:t xml:space="preserve"> </w:t>
      </w:r>
      <w:r>
        <w:rPr>
          <w:rFonts w:ascii="PMingLiU" w:cs="PMingLiU" w:eastAsia="PMingLiU" w:hAnsi="PMingLiU"/>
          <w:sz w:val="18"/>
          <w:szCs w:val="18"/>
          <w:color w:val="auto"/>
        </w:rPr>
        <w:t>數</w:t>
      </w:r>
      <w:r>
        <w:rPr>
          <w:rFonts w:ascii="Times New Roman" w:cs="Times New Roman" w:eastAsia="Times New Roman" w:hAnsi="Times New Roman"/>
          <w:sz w:val="18"/>
          <w:szCs w:val="18"/>
          <w:b w:val="1"/>
          <w:bCs w:val="1"/>
          <w:color w:val="auto"/>
        </w:rPr>
        <w:t xml:space="preserve"> </w:t>
      </w:r>
      <w:r>
        <w:rPr>
          <w:rFonts w:ascii="PMingLiU" w:cs="PMingLiU" w:eastAsia="PMingLiU" w:hAnsi="PMingLiU"/>
          <w:sz w:val="18"/>
          <w:szCs w:val="18"/>
          <w:color w:val="auto"/>
          <w:highlight w:val="black"/>
        </w:rPr>
        <w:t>據 控 股 有 限 公 司</w:t>
      </w:r>
      <w:r>
        <w:rPr>
          <w:rFonts w:ascii="Times New Roman" w:cs="Times New Roman" w:eastAsia="Times New Roman" w:hAnsi="Times New Roman"/>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-135890</wp:posOffset>
            </wp:positionV>
            <wp:extent cx="150495" cy="139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495" cy="139700"/>
                    </a:xfrm>
                    <a:prstGeom prst="rect">
                      <a:avLst/>
                    </a:prstGeom>
                    <a:noFill/>
                  </pic:spPr>
                </pic:pic>
              </a:graphicData>
            </a:graphic>
          </wp:anchor>
        </w:drawing>
      </w:r>
    </w:p>
    <w:p>
      <w:pPr>
        <w:jc w:val="both"/>
        <w:ind w:left="1440" w:right="1440"/>
        <w:spacing w:after="0" w:line="273" w:lineRule="auto"/>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 incorporated in the Cayman Islands with limited liability under the name GDS Holdings Limited and carrying on business in Hong Kong as GDS WanGuo Holdings Limited)</w:t>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(Stock Code: 9698)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FOR ANNUAL GENERAL MEETING OF SHAREHOLDERS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announces that the record date for the purpose of determining the eligibility of the holders of our ordinary shares, Series A convertible preferred shares and Series B convertible preferred shares, par value US$0.00005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attend and vote at our forthcoming annual general meeting of shareholders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will be as of close of business on Thursday, June 4, 2026, Hong Kong time (the “</w:t>
      </w:r>
      <w:r>
        <w:rPr>
          <w:rFonts w:ascii="Times New Roman" w:cs="Times New Roman" w:eastAsia="Times New Roman" w:hAnsi="Times New Roman"/>
          <w:sz w:val="18"/>
          <w:szCs w:val="18"/>
          <w:b w:val="1"/>
          <w:bCs w:val="1"/>
          <w:color w:val="auto"/>
        </w:rPr>
        <w:t>Shares Record Date</w:t>
      </w:r>
      <w:r>
        <w:rPr>
          <w:rFonts w:ascii="Times New Roman" w:cs="Times New Roman" w:eastAsia="Times New Roman" w:hAnsi="Times New Roman"/>
          <w:sz w:val="18"/>
          <w:szCs w:val="18"/>
          <w:color w:val="auto"/>
        </w:rPr>
        <w:t>”). In order to be eligible to attend and vote at the General Meeting, all valid documents for the transfers of Class A Ordinary Shares, par value US$0.00005 per 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accompanied by the relevant share certificates must be lodged with the Company’s Hong Kong branch share registrar and transfer office, Computershare Hong Kong Investor Services Limited, at Shops 1712-1716, 17th Floor, Hopewell Centre, 183 Queen’s Road East, Wan Chai, Hong Kong, not later than [4:30] p.m. on Thursday, June 4, 2026, Hong Kong time. All persons who are registered holders of the Shares on the Shares Record Date will be entitled to attend and vote at the General Meeting.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Holders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by JP Morgan Chase Bank, N.A., as depositary of the ADSs, and representing our Class A Ordinary Shares are not entitled to attend or vote at the General Meeting. Holders of ADSs as of close of business on Thursday, June 4, 2026, New York time (the “</w:t>
      </w:r>
      <w:r>
        <w:rPr>
          <w:rFonts w:ascii="Times New Roman" w:cs="Times New Roman" w:eastAsia="Times New Roman" w:hAnsi="Times New Roman"/>
          <w:sz w:val="18"/>
          <w:szCs w:val="18"/>
          <w:b w:val="1"/>
          <w:bCs w:val="1"/>
          <w:color w:val="auto"/>
        </w:rPr>
        <w:t>ADSs Record Date</w:t>
      </w:r>
      <w:r>
        <w:rPr>
          <w:rFonts w:ascii="Times New Roman" w:cs="Times New Roman" w:eastAsia="Times New Roman" w:hAnsi="Times New Roman"/>
          <w:sz w:val="18"/>
          <w:szCs w:val="18"/>
          <w:color w:val="auto"/>
        </w:rPr>
        <w:t>”, together with the Shares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will be able to instruct JP Morgan Chase Bank, N.A., the holder of record of Class A Ordinary Shares represented by ADSs, as to how to vote the Class A Ordinary Shares represented by such ADSs. Upon the timely receipt of a properly completed ADS voting instruction card, JP Morgan Chase Bank, N.A., as depositary of the ADSs, will endeavor, to the extent practicable and legally permissible, to vote or cause to be voted at the General Meeting the amount of Class A Ordinary Shares represented by the ADSs in accordance with the instructions set forth in the ADS voting instruction card. Please be aware that, because of the time difference between Hong Kong and New York, if a holder of ADSs cancels his or her ADSs in exchange for Class A Ordinary Shares on Thursday, June 4, 2026, New York time, such holder of ADSs will not be able to instruct JP Morgan Chase Bank, N.A., as depositary of the ADSs, as to how to vote the Class A Ordinary Shares represented by the canceled ADSs as described above, and will also not be a holder of those Class A Ordinary Shares as of the Shares Record Date for the purpose of determining the eligibility to attend and vote at the General Meeting.</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Details including the date and location of our General Meeting will be set out in our notice of General Meeting to be issued and provided to holders of our Shares and ADSs as of the respective Record Date together with the proxy materials in due course.</w:t>
      </w:r>
    </w:p>
    <w:p>
      <w:pPr>
        <w:spacing w:after="0" w:line="162"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GDS Holdings Limited **</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Mr. William Wei Huang</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May 19,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William Wei Huang as the chairman, Mr. Sio Tat Hiang as the vice-chairman, Mr. Satoshi Okada, Mr. Bruno Lopez, Mr. Gary J. Wojtaszek and Mr. Liu Chee Ming as directors, and Mr. Lim Ah Doo, Ms. Bin Yu, Mr. Zulkifli Baharudin, Mr. Chang Sun and Ms. Judy Qing Ye as independent directors.</w:t>
      </w:r>
    </w:p>
    <w:p>
      <w:pPr>
        <w:spacing w:after="0" w:line="173" w:lineRule="exact"/>
        <w:rPr>
          <w:sz w:val="20"/>
          <w:szCs w:val="20"/>
          <w:color w:val="auto"/>
        </w:rPr>
      </w:pPr>
    </w:p>
    <w:p>
      <w:pPr>
        <w:ind w:left="520" w:hanging="512"/>
        <w:spacing w:after="0"/>
        <w:tabs>
          <w:tab w:leader="none" w:pos="52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identification purposes only</w:t>
      </w:r>
    </w:p>
    <w:p>
      <w:pPr>
        <w:spacing w:after="0" w:line="225" w:lineRule="exact"/>
        <w:rPr>
          <w:sz w:val="20"/>
          <w:szCs w:val="20"/>
          <w:color w:val="auto"/>
        </w:rPr>
      </w:pPr>
    </w:p>
    <w:p>
      <w:pPr>
        <w:ind w:left="520" w:hanging="512"/>
        <w:spacing w:after="0" w:line="284" w:lineRule="auto"/>
        <w:tabs>
          <w:tab w:leader="none" w:pos="52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in the Cayman Islands with limited liability under the name GDS Holdings Limited and carrying on business in Hong Kong as GDS WanGuo Holdings Limited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2026-05-19T08:12:21Z</dcterms:created>
  <dcterms:modified xsi:type="dcterms:W3CDTF">2026-05-19T08:12:21Z</dcterms:modified>
</cp:coreProperties>
</file>