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left="360" w:right="2560"/>
        <w:spacing w:after="0" w:line="268"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RULES 13d-1(b),(c), AND (d) AND AMENDMENTS THERETO FILED PURSUANT TO RULE 13d-2(b)</w:t>
      </w:r>
    </w:p>
    <w:p>
      <w:pPr>
        <w:spacing w:after="0" w:line="1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GDS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36165L108**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5340" w:hanging="439"/>
        <w:spacing w:after="0"/>
        <w:tabs>
          <w:tab w:leader="none" w:pos="53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5340" w:hanging="434"/>
        <w:spacing w:after="0"/>
        <w:tabs>
          <w:tab w:leader="none" w:pos="5340"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5340" w:hanging="439"/>
        <w:spacing w:after="0"/>
        <w:tabs>
          <w:tab w:leader="none" w:pos="5340"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54"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MS PGothic" w:cs="MS PGothic" w:eastAsia="MS PGothic" w:hAnsi="MS PGothic"/>
          <w:sz w:val="18"/>
          <w:szCs w:val="18"/>
          <w:color w:val="auto"/>
        </w:rPr>
      </w:pPr>
    </w:p>
    <w:p>
      <w:pPr>
        <w:ind w:right="220" w:firstLine="8"/>
        <w:spacing w:after="0" w:line="282" w:lineRule="auto"/>
        <w:tabs>
          <w:tab w:leader="none" w:pos="2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CUSIP number is for the issuer’s American Depositary Shares (“ADSs”) of the Company, which are quoted on the Nasdaq Global Market under the symbol “GDS.” Each ADS represents 8 ordinary shares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-854075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71" w:right="379" w:bottom="1440" w:gutter="0" w:footer="0" w:header="0"/>
        </w:sectPr>
      </w:pPr>
    </w:p>
    <w:bookmarkStart w:id="1" w:name="page2"/>
    <w:bookmarkEnd w:id="1"/>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36165L108</w:t>
      </w:r>
      <w:r>
        <w:rPr>
          <w:sz w:val="20"/>
          <w:szCs w:val="20"/>
          <w:color w:val="auto"/>
        </w:rPr>
        <w:tab/>
      </w:r>
      <w:r>
        <w:rPr>
          <w:rFonts w:ascii="Times New Roman" w:cs="Times New Roman" w:eastAsia="Times New Roman" w:hAnsi="Times New Roman"/>
          <w:sz w:val="17"/>
          <w:szCs w:val="17"/>
          <w:color w:val="auto"/>
        </w:rPr>
        <w:t>Page 2 of 5 Pages</w:t>
      </w:r>
    </w:p>
    <w:p>
      <w:pPr>
        <w:spacing w:after="0" w:line="225"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Canada Pension Plan Investment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right="7060" w:hanging="452"/>
        <w:spacing w:after="0" w:line="389" w:lineRule="auto"/>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3160" w:hanging="452"/>
        <w:spacing w:after="0"/>
        <w:tabs>
          <w:tab w:leader="none" w:pos="31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77,434,776</w:t>
            </w:r>
          </w:p>
        </w:tc>
        <w:tc>
          <w:tcPr>
            <w:tcW w:w="0" w:type="dxa"/>
            <w:vAlign w:val="bottom"/>
          </w:tcPr>
          <w:p>
            <w:pPr>
              <w:spacing w:after="0"/>
              <w:rPr>
                <w:sz w:val="1"/>
                <w:szCs w:val="1"/>
                <w:color w:val="auto"/>
              </w:rPr>
            </w:pP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88"/>
              </w:rPr>
              <w:t>6</w:t>
            </w:r>
          </w:p>
        </w:tc>
        <w:tc>
          <w:tcPr>
            <w:tcW w:w="82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spacing w:after="0"/>
              <w:rPr>
                <w:sz w:val="18"/>
                <w:szCs w:val="18"/>
                <w:color w:val="auto"/>
              </w:rPr>
            </w:pPr>
          </w:p>
        </w:tc>
        <w:tc>
          <w:tcPr>
            <w:tcW w:w="82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1"/>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tcBorders>
              <w:bottom w:val="single" w:sz="8" w:color="auto"/>
            </w:tcBorders>
          </w:tcPr>
          <w:p>
            <w:pPr>
              <w:spacing w:after="0"/>
              <w:rPr>
                <w:sz w:val="20"/>
                <w:szCs w:val="20"/>
                <w:color w:val="auto"/>
              </w:rPr>
            </w:pPr>
          </w:p>
        </w:tc>
        <w:tc>
          <w:tcPr>
            <w:tcW w:w="8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88"/>
              </w:rPr>
              <w:t>7</w:t>
            </w:r>
          </w:p>
        </w:tc>
        <w:tc>
          <w:tcPr>
            <w:tcW w:w="82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280" w:type="dxa"/>
            <w:vAlign w:val="bottom"/>
          </w:tcPr>
          <w:p>
            <w:pPr>
              <w:spacing w:after="0"/>
              <w:rPr>
                <w:sz w:val="18"/>
                <w:szCs w:val="18"/>
                <w:color w:val="auto"/>
              </w:rPr>
            </w:pPr>
          </w:p>
        </w:tc>
        <w:tc>
          <w:tcPr>
            <w:tcW w:w="82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77,434,776</w:t>
            </w:r>
          </w:p>
        </w:tc>
        <w:tc>
          <w:tcPr>
            <w:tcW w:w="0" w:type="dxa"/>
            <w:vAlign w:val="bottom"/>
          </w:tcPr>
          <w:p>
            <w:pPr>
              <w:spacing w:after="0"/>
              <w:rPr>
                <w:sz w:val="1"/>
                <w:szCs w:val="1"/>
                <w:color w:val="auto"/>
              </w:rPr>
            </w:pPr>
          </w:p>
        </w:tc>
      </w:tr>
      <w:tr>
        <w:trPr>
          <w:trHeight w:val="241"/>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tcBorders>
              <w:bottom w:val="single" w:sz="8" w:color="auto"/>
            </w:tcBorders>
          </w:tcPr>
          <w:p>
            <w:pPr>
              <w:spacing w:after="0"/>
              <w:rPr>
                <w:sz w:val="20"/>
                <w:szCs w:val="20"/>
                <w:color w:val="auto"/>
              </w:rPr>
            </w:pPr>
          </w:p>
        </w:tc>
        <w:tc>
          <w:tcPr>
            <w:tcW w:w="8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7"/>
        </w:trPr>
        <w:tc>
          <w:tcPr>
            <w:tcW w:w="2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77,434,776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42" w:lineRule="exact"/>
        <w:rPr>
          <w:sz w:val="20"/>
          <w:szCs w:val="20"/>
          <w:color w:val="auto"/>
        </w:rPr>
      </w:pPr>
    </w:p>
    <w:p>
      <w:pPr>
        <w:ind w:left="10720"/>
        <w:spacing w:after="0"/>
        <w:rPr>
          <w:sz w:val="20"/>
          <w:szCs w:val="20"/>
          <w:color w:val="auto"/>
        </w:rPr>
      </w:pP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460" w:right="5780" w:hanging="452"/>
        <w:spacing w:after="0" w:line="326" w:lineRule="auto"/>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PERCENT OF CLASS REPRESENTED BY AMOUNT IN ROW 9: </w:t>
      </w: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29"/>
          <w:szCs w:val="29"/>
          <w:color w:val="auto"/>
          <w:vertAlign w:val="superscript"/>
        </w:rPr>
        <w:t>(2)</w:t>
      </w:r>
    </w:p>
    <w:p>
      <w:pPr>
        <w:spacing w:after="0" w:line="1"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0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ind w:right="60" w:firstLine="8"/>
        <w:spacing w:after="0" w:line="282" w:lineRule="auto"/>
        <w:tabs>
          <w:tab w:leader="none" w:pos="2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issuer reflected in this Schedule 13G are held as ADSs (with one ADS representing 8 ordinary shares of the issuer). These 77,434,776 shares of the issuer are held in the form of 9,679,347 ADSs.</w:t>
      </w:r>
    </w:p>
    <w:p>
      <w:pPr>
        <w:spacing w:after="0" w:line="161" w:lineRule="exact"/>
        <w:rPr>
          <w:rFonts w:ascii="Times New Roman" w:cs="Times New Roman" w:eastAsia="Times New Roman" w:hAnsi="Times New Roman"/>
          <w:sz w:val="18"/>
          <w:szCs w:val="18"/>
          <w:color w:val="auto"/>
        </w:rPr>
      </w:pPr>
    </w:p>
    <w:p>
      <w:pPr>
        <w:ind w:right="160" w:firstLine="8"/>
        <w:spacing w:after="0" w:line="266"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1,411,610,031 Class A Ordinary Shares of the issuer outstanding as of March 15, 2023, comprising of 1,468,842,655 Class A Ordinary Shares less 57,232,624 Class A Ordinary Shares held by JPMorgan Chase Bank, N.A., as depositary, which are reserved under the issuer’s share incentive plans, as disclosed in the issuer’s Form 20-F filed with the Securities and Exchange Commission on April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5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CUSIP No. 36165L108</w:t>
            </w:r>
          </w:p>
        </w:tc>
        <w:tc>
          <w:tcPr>
            <w:tcW w:w="17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Page 3 of 5 Pages</w:t>
            </w: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Name of Issuer</w:t>
            </w:r>
          </w:p>
        </w:tc>
        <w:tc>
          <w:tcPr>
            <w:tcW w:w="17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79"/>
        </w:trPr>
        <w:tc>
          <w:tcPr>
            <w:tcW w:w="1300" w:type="dxa"/>
            <w:vAlign w:val="bottom"/>
          </w:tcPr>
          <w:p>
            <w:pPr>
              <w:spacing w:after="0"/>
              <w:rPr>
                <w:sz w:val="24"/>
                <w:szCs w:val="24"/>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GDS Holdings Limited</w:t>
            </w:r>
          </w:p>
        </w:tc>
        <w:tc>
          <w:tcPr>
            <w:tcW w:w="17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34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Address of Issuer’s Principal Executive Offices</w:t>
            </w:r>
          </w:p>
        </w:tc>
        <w:tc>
          <w:tcPr>
            <w:tcW w:w="4780" w:type="dxa"/>
            <w:vAlign w:val="bottom"/>
            <w:gridSpan w:val="3"/>
          </w:tcPr>
          <w:p>
            <w:pPr>
              <w:spacing w:after="0"/>
              <w:rPr>
                <w:sz w:val="24"/>
                <w:szCs w:val="24"/>
                <w:color w:val="auto"/>
              </w:rPr>
            </w:pPr>
          </w:p>
        </w:tc>
        <w:tc>
          <w:tcPr>
            <w:tcW w:w="1740" w:type="dxa"/>
            <w:vAlign w:val="bottom"/>
          </w:tcPr>
          <w:p>
            <w:pPr>
              <w:spacing w:after="0"/>
              <w:rPr>
                <w:sz w:val="24"/>
                <w:szCs w:val="24"/>
                <w:color w:val="auto"/>
              </w:rPr>
            </w:pPr>
          </w:p>
        </w:tc>
      </w:tr>
      <w:tr>
        <w:trPr>
          <w:trHeight w:val="434"/>
        </w:trPr>
        <w:tc>
          <w:tcPr>
            <w:tcW w:w="1300" w:type="dxa"/>
            <w:vAlign w:val="bottom"/>
          </w:tcPr>
          <w:p>
            <w:pPr>
              <w:spacing w:after="0"/>
              <w:rPr>
                <w:sz w:val="24"/>
                <w:szCs w:val="24"/>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F4/F5, Building C, Sunland International</w:t>
            </w:r>
          </w:p>
        </w:tc>
        <w:tc>
          <w:tcPr>
            <w:tcW w:w="174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No. 999 Zhouhai Road</w:t>
            </w:r>
          </w:p>
        </w:tc>
        <w:tc>
          <w:tcPr>
            <w:tcW w:w="17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Pudong, Shanghai 200137</w:t>
            </w:r>
          </w:p>
        </w:tc>
        <w:tc>
          <w:tcPr>
            <w:tcW w:w="174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740" w:type="dxa"/>
            <w:vAlign w:val="bottom"/>
          </w:tcPr>
          <w:p>
            <w:pPr>
              <w:spacing w:after="0"/>
              <w:rPr>
                <w:sz w:val="20"/>
                <w:szCs w:val="20"/>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1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Name of Person Filing</w:t>
            </w:r>
          </w:p>
        </w:tc>
        <w:tc>
          <w:tcPr>
            <w:tcW w:w="6560" w:type="dxa"/>
            <w:vAlign w:val="bottom"/>
            <w:gridSpan w:val="5"/>
          </w:tcPr>
          <w:p>
            <w:pPr>
              <w:spacing w:after="0"/>
              <w:rPr>
                <w:sz w:val="24"/>
                <w:szCs w:val="24"/>
                <w:color w:val="auto"/>
              </w:rPr>
            </w:pPr>
          </w:p>
        </w:tc>
        <w:tc>
          <w:tcPr>
            <w:tcW w:w="17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Canada Pension Plan Investment Board</w:t>
            </w:r>
          </w:p>
        </w:tc>
        <w:tc>
          <w:tcPr>
            <w:tcW w:w="174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17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principal business address of the Reporting Person is as follows:</w:t>
            </w:r>
          </w:p>
        </w:tc>
        <w:tc>
          <w:tcPr>
            <w:tcW w:w="1740" w:type="dxa"/>
            <w:vAlign w:val="bottom"/>
          </w:tcPr>
          <w:p>
            <w:pPr>
              <w:spacing w:after="0"/>
              <w:rPr>
                <w:sz w:val="24"/>
                <w:szCs w:val="24"/>
                <w:color w:val="auto"/>
              </w:rPr>
            </w:pPr>
          </w:p>
        </w:tc>
      </w:tr>
      <w:tr>
        <w:trPr>
          <w:trHeight w:val="414"/>
        </w:trPr>
        <w:tc>
          <w:tcPr>
            <w:tcW w:w="1300" w:type="dxa"/>
            <w:vAlign w:val="bottom"/>
          </w:tcPr>
          <w:p>
            <w:pPr>
              <w:spacing w:after="0"/>
              <w:rPr>
                <w:sz w:val="24"/>
                <w:szCs w:val="24"/>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One Queen Street East</w:t>
            </w:r>
          </w:p>
        </w:tc>
        <w:tc>
          <w:tcPr>
            <w:tcW w:w="174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Suite 2500</w:t>
            </w:r>
          </w:p>
        </w:tc>
        <w:tc>
          <w:tcPr>
            <w:tcW w:w="17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Toronto, Ontario</w:t>
            </w:r>
          </w:p>
        </w:tc>
        <w:tc>
          <w:tcPr>
            <w:tcW w:w="17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M5C 2W5</w:t>
            </w:r>
          </w:p>
        </w:tc>
        <w:tc>
          <w:tcPr>
            <w:tcW w:w="174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Canada</w:t>
            </w:r>
          </w:p>
        </w:tc>
        <w:tc>
          <w:tcPr>
            <w:tcW w:w="174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Citizenship</w:t>
            </w:r>
          </w:p>
        </w:tc>
        <w:tc>
          <w:tcPr>
            <w:tcW w:w="17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7380" w:type="dxa"/>
            <w:vAlign w:val="bottom"/>
            <w:gridSpan w:val="8"/>
          </w:tcPr>
          <w:p>
            <w:pPr>
              <w:spacing w:after="0"/>
              <w:rPr>
                <w:sz w:val="24"/>
                <w:szCs w:val="24"/>
                <w:color w:val="auto"/>
              </w:rPr>
            </w:pPr>
          </w:p>
        </w:tc>
        <w:tc>
          <w:tcPr>
            <w:tcW w:w="17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19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Title of Class of Securities</w:t>
            </w:r>
          </w:p>
        </w:tc>
        <w:tc>
          <w:tcPr>
            <w:tcW w:w="6280" w:type="dxa"/>
            <w:vAlign w:val="bottom"/>
            <w:gridSpan w:val="4"/>
          </w:tcPr>
          <w:p>
            <w:pPr>
              <w:spacing w:after="0"/>
              <w:rPr>
                <w:sz w:val="24"/>
                <w:szCs w:val="24"/>
                <w:color w:val="auto"/>
              </w:rPr>
            </w:pPr>
          </w:p>
        </w:tc>
        <w:tc>
          <w:tcPr>
            <w:tcW w:w="17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7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CUSIP Number</w:t>
            </w:r>
          </w:p>
        </w:tc>
        <w:tc>
          <w:tcPr>
            <w:tcW w:w="17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1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36165L108</w:t>
            </w:r>
          </w:p>
        </w:tc>
        <w:tc>
          <w:tcPr>
            <w:tcW w:w="7060" w:type="dxa"/>
            <w:vAlign w:val="bottom"/>
            <w:gridSpan w:val="6"/>
          </w:tcPr>
          <w:p>
            <w:pPr>
              <w:spacing w:after="0"/>
              <w:rPr>
                <w:sz w:val="24"/>
                <w:szCs w:val="24"/>
                <w:color w:val="auto"/>
              </w:rPr>
            </w:pPr>
          </w:p>
        </w:tc>
        <w:tc>
          <w:tcPr>
            <w:tcW w:w="17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If this statement is filed pursuant to Rules 13d-1(b), or 13d-2(b) or (c), check whether the person filing is a:</w:t>
            </w:r>
          </w:p>
        </w:tc>
        <w:tc>
          <w:tcPr>
            <w:tcW w:w="17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84" w:lineRule="exact"/>
        <w:rPr>
          <w:sz w:val="20"/>
          <w:szCs w:val="20"/>
          <w:color w:val="auto"/>
        </w:rPr>
      </w:pPr>
    </w:p>
    <w:p>
      <w:pPr>
        <w:ind w:left="1680" w:hanging="444"/>
        <w:spacing w:after="0" w:line="207" w:lineRule="exact"/>
        <w:tabs>
          <w:tab w:leader="none" w:pos="168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69" w:lineRule="exact"/>
        <w:rPr>
          <w:rFonts w:ascii="Times New Roman" w:cs="Times New Roman" w:eastAsia="Times New Roman" w:hAnsi="Times New Roman"/>
          <w:sz w:val="18"/>
          <w:szCs w:val="18"/>
          <w:color w:val="auto"/>
        </w:rPr>
      </w:pPr>
    </w:p>
    <w:p>
      <w:pPr>
        <w:ind w:left="1680" w:hanging="444"/>
        <w:spacing w:after="0" w:line="207" w:lineRule="exact"/>
        <w:tabs>
          <w:tab w:leader="none" w:pos="168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9" w:lineRule="exact"/>
        <w:rPr>
          <w:rFonts w:ascii="Times New Roman" w:cs="Times New Roman" w:eastAsia="Times New Roman" w:hAnsi="Times New Roman"/>
          <w:sz w:val="18"/>
          <w:szCs w:val="18"/>
          <w:color w:val="auto"/>
        </w:rPr>
      </w:pPr>
    </w:p>
    <w:p>
      <w:pPr>
        <w:ind w:left="1680" w:hanging="444"/>
        <w:spacing w:after="0" w:line="207" w:lineRule="exact"/>
        <w:tabs>
          <w:tab w:leader="none" w:pos="168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9" w:lineRule="exact"/>
        <w:rPr>
          <w:rFonts w:ascii="Times New Roman" w:cs="Times New Roman" w:eastAsia="Times New Roman" w:hAnsi="Times New Roman"/>
          <w:sz w:val="18"/>
          <w:szCs w:val="18"/>
          <w:color w:val="auto"/>
        </w:rPr>
      </w:pPr>
    </w:p>
    <w:p>
      <w:pPr>
        <w:ind w:left="1680" w:hanging="444"/>
        <w:spacing w:after="0" w:line="207" w:lineRule="exact"/>
        <w:tabs>
          <w:tab w:leader="none" w:pos="168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w:t>
      </w:r>
    </w:p>
    <w:p>
      <w:pPr>
        <w:spacing w:after="0" w:line="9" w:lineRule="exact"/>
        <w:rPr>
          <w:rFonts w:ascii="Times New Roman" w:cs="Times New Roman" w:eastAsia="Times New Roman" w:hAnsi="Times New Roman"/>
          <w:sz w:val="18"/>
          <w:szCs w:val="18"/>
          <w:color w:val="auto"/>
        </w:rPr>
      </w:pPr>
    </w:p>
    <w:p>
      <w:pPr>
        <w:ind w:left="1680" w:hanging="444"/>
        <w:spacing w:after="0" w:line="207" w:lineRule="exact"/>
        <w:tabs>
          <w:tab w:leader="none" w:pos="168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9" w:lineRule="exact"/>
        <w:rPr>
          <w:rFonts w:ascii="Times New Roman" w:cs="Times New Roman" w:eastAsia="Times New Roman" w:hAnsi="Times New Roman"/>
          <w:sz w:val="18"/>
          <w:szCs w:val="18"/>
          <w:color w:val="auto"/>
        </w:rPr>
      </w:pPr>
    </w:p>
    <w:p>
      <w:pPr>
        <w:ind w:left="1680" w:hanging="444"/>
        <w:spacing w:after="0" w:line="207" w:lineRule="exact"/>
        <w:tabs>
          <w:tab w:leader="none" w:pos="168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9" w:lineRule="exact"/>
        <w:rPr>
          <w:rFonts w:ascii="Times New Roman" w:cs="Times New Roman" w:eastAsia="Times New Roman" w:hAnsi="Times New Roman"/>
          <w:sz w:val="18"/>
          <w:szCs w:val="18"/>
          <w:color w:val="auto"/>
        </w:rPr>
      </w:pPr>
    </w:p>
    <w:p>
      <w:pPr>
        <w:ind w:left="1680" w:hanging="444"/>
        <w:spacing w:after="0" w:line="207" w:lineRule="exact"/>
        <w:tabs>
          <w:tab w:leader="none" w:pos="168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9" w:lineRule="exact"/>
        <w:rPr>
          <w:rFonts w:ascii="Times New Roman" w:cs="Times New Roman" w:eastAsia="Times New Roman" w:hAnsi="Times New Roman"/>
          <w:sz w:val="18"/>
          <w:szCs w:val="18"/>
          <w:color w:val="auto"/>
        </w:rPr>
      </w:pPr>
    </w:p>
    <w:p>
      <w:pPr>
        <w:ind w:left="1680" w:hanging="444"/>
        <w:spacing w:after="0" w:line="207" w:lineRule="exact"/>
        <w:tabs>
          <w:tab w:leader="none" w:pos="168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p>
      <w:pPr>
        <w:spacing w:after="0" w:line="9" w:lineRule="exact"/>
        <w:rPr>
          <w:rFonts w:ascii="Times New Roman" w:cs="Times New Roman" w:eastAsia="Times New Roman" w:hAnsi="Times New Roman"/>
          <w:sz w:val="18"/>
          <w:szCs w:val="18"/>
          <w:color w:val="auto"/>
        </w:rPr>
      </w:pPr>
    </w:p>
    <w:p>
      <w:pPr>
        <w:ind w:left="2120" w:right="580" w:hanging="884"/>
        <w:spacing w:after="0" w:line="215" w:lineRule="exact"/>
        <w:tabs>
          <w:tab w:leader="none" w:pos="1675"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w:t>
      </w:r>
    </w:p>
    <w:p>
      <w:pPr>
        <w:ind w:left="1680" w:hanging="444"/>
        <w:spacing w:after="0" w:line="207" w:lineRule="exact"/>
        <w:tabs>
          <w:tab w:leader="none" w:pos="168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13d-1(b)(1)(ii)(J).</w:t>
      </w:r>
    </w:p>
    <w:p>
      <w:pPr>
        <w:spacing w:after="0" w:line="10" w:lineRule="exact"/>
        <w:rPr>
          <w:rFonts w:ascii="Times New Roman" w:cs="Times New Roman" w:eastAsia="Times New Roman" w:hAnsi="Times New Roman"/>
          <w:sz w:val="18"/>
          <w:szCs w:val="18"/>
          <w:color w:val="auto"/>
        </w:rPr>
      </w:pPr>
    </w:p>
    <w:p>
      <w:pPr>
        <w:ind w:left="1680" w:hanging="444"/>
        <w:spacing w:after="0" w:line="207" w:lineRule="exact"/>
        <w:tabs>
          <w:tab w:leader="none" w:pos="168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w:t>
      </w:r>
    </w:p>
    <w:p>
      <w:pPr>
        <w:spacing w:after="0" w:line="205"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color w:val="auto"/>
        </w:rPr>
        <w:t xml:space="preserve">If filing as a non-U.S. institution in accordance with Rule 13d-1(b)(1)(ii)(J), please specify the type of institution: </w:t>
      </w:r>
      <w:r>
        <w:rPr>
          <w:rFonts w:ascii="Times New Roman" w:cs="Times New Roman" w:eastAsia="Times New Roman" w:hAnsi="Times New Roman"/>
          <w:sz w:val="18"/>
          <w:szCs w:val="18"/>
          <w:u w:val="single" w:color="auto"/>
          <w:color w:val="auto"/>
        </w:rPr>
        <w:t>Pension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manager subject to the Canada Pension Plan Investment Board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36165L108</w:t>
            </w:r>
          </w:p>
        </w:tc>
        <w:tc>
          <w:tcPr>
            <w:tcW w:w="9140" w:type="dxa"/>
            <w:vAlign w:val="bottom"/>
          </w:tcPr>
          <w:p>
            <w:pPr>
              <w:ind w:left="7860"/>
              <w:spacing w:after="0"/>
              <w:rPr>
                <w:sz w:val="20"/>
                <w:szCs w:val="20"/>
                <w:color w:val="auto"/>
              </w:rPr>
            </w:pPr>
            <w:r>
              <w:rPr>
                <w:rFonts w:ascii="Times New Roman" w:cs="Times New Roman" w:eastAsia="Times New Roman" w:hAnsi="Times New Roman"/>
                <w:sz w:val="18"/>
                <w:szCs w:val="18"/>
                <w:color w:val="auto"/>
                <w:w w:val="98"/>
              </w:rPr>
              <w:t>Page 4 of 5 Pages</w:t>
            </w: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Ownership</w:t>
            </w:r>
          </w:p>
        </w:tc>
        <w:tc>
          <w:tcPr>
            <w:tcW w:w="9140" w:type="dxa"/>
            <w:vAlign w:val="bottom"/>
          </w:tcPr>
          <w:p>
            <w:pPr>
              <w:spacing w:after="0"/>
              <w:rPr>
                <w:sz w:val="24"/>
                <w:szCs w:val="24"/>
                <w:color w:val="auto"/>
              </w:rPr>
            </w:pPr>
          </w:p>
        </w:tc>
      </w:tr>
    </w:tbl>
    <w:p>
      <w:pPr>
        <w:spacing w:after="0" w:line="252" w:lineRule="exact"/>
        <w:rPr>
          <w:sz w:val="20"/>
          <w:szCs w:val="20"/>
          <w:color w:val="auto"/>
        </w:rPr>
      </w:pPr>
    </w:p>
    <w:p>
      <w:pPr>
        <w:ind w:left="1680" w:right="7420" w:hanging="444"/>
        <w:spacing w:after="0" w:line="500" w:lineRule="auto"/>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See Item 9 on page 2.</w:t>
      </w:r>
    </w:p>
    <w:p>
      <w:pPr>
        <w:spacing w:after="0" w:line="1"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11 on page 2.</w:t>
      </w:r>
    </w:p>
    <w:p>
      <w:pPr>
        <w:spacing w:after="0" w:line="225"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120" w:right="6280" w:hanging="438"/>
        <w:spacing w:after="0" w:line="500" w:lineRule="auto"/>
        <w:tabs>
          <w:tab w:leader="none" w:pos="21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Item 5 on page 2.</w:t>
      </w:r>
    </w:p>
    <w:p>
      <w:pPr>
        <w:spacing w:after="0" w:line="1" w:lineRule="exact"/>
        <w:rPr>
          <w:rFonts w:ascii="Times New Roman" w:cs="Times New Roman" w:eastAsia="Times New Roman" w:hAnsi="Times New Roman"/>
          <w:sz w:val="18"/>
          <w:szCs w:val="18"/>
          <w:color w:val="auto"/>
        </w:rPr>
      </w:pPr>
    </w:p>
    <w:p>
      <w:pPr>
        <w:ind w:left="2120" w:right="6100" w:hanging="438"/>
        <w:spacing w:after="0" w:line="500" w:lineRule="auto"/>
        <w:tabs>
          <w:tab w:leader="none" w:pos="21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Item 6 on page 2.</w:t>
      </w:r>
    </w:p>
    <w:p>
      <w:pPr>
        <w:spacing w:after="0" w:line="1" w:lineRule="exact"/>
        <w:rPr>
          <w:rFonts w:ascii="Times New Roman" w:cs="Times New Roman" w:eastAsia="Times New Roman" w:hAnsi="Times New Roman"/>
          <w:sz w:val="18"/>
          <w:szCs w:val="18"/>
          <w:color w:val="auto"/>
        </w:rPr>
      </w:pPr>
    </w:p>
    <w:p>
      <w:pPr>
        <w:ind w:left="2120" w:right="5380" w:hanging="438"/>
        <w:spacing w:after="0" w:line="500" w:lineRule="auto"/>
        <w:tabs>
          <w:tab w:leader="none" w:pos="21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Item 7 on page 2.</w:t>
      </w:r>
    </w:p>
    <w:p>
      <w:pPr>
        <w:spacing w:after="0" w:line="1" w:lineRule="exact"/>
        <w:rPr>
          <w:rFonts w:ascii="Times New Roman" w:cs="Times New Roman" w:eastAsia="Times New Roman" w:hAnsi="Times New Roman"/>
          <w:sz w:val="18"/>
          <w:szCs w:val="18"/>
          <w:color w:val="auto"/>
        </w:rPr>
      </w:pPr>
    </w:p>
    <w:p>
      <w:pPr>
        <w:ind w:left="2120" w:right="5200" w:hanging="438"/>
        <w:spacing w:after="0" w:line="500" w:lineRule="auto"/>
        <w:tabs>
          <w:tab w:leader="none" w:pos="21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Item 8 on page 2.</w:t>
      </w:r>
    </w:p>
    <w:p>
      <w:pPr>
        <w:spacing w:after="0" w:line="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u w:val="single" w:color="auto"/>
          <w:color w:val="auto"/>
        </w:rPr>
        <w:t>Ownership of Five Percent or Less of a Class</w:t>
      </w:r>
    </w:p>
    <w:p>
      <w:pPr>
        <w:spacing w:after="0" w:line="225" w:lineRule="exact"/>
        <w:rPr>
          <w:sz w:val="20"/>
          <w:szCs w:val="20"/>
          <w:color w:val="auto"/>
        </w:rPr>
      </w:pPr>
    </w:p>
    <w:p>
      <w:pPr>
        <w:ind w:left="1300"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Ownership of More than Five Percent on Behalf of Another Person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u w:val="single" w:color="auto"/>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u w:val="single" w:color="auto"/>
          <w:color w:val="auto"/>
        </w:rPr>
        <w:t>Certifications</w:t>
      </w:r>
    </w:p>
    <w:p>
      <w:pPr>
        <w:spacing w:after="0" w:line="225" w:lineRule="exact"/>
        <w:rPr>
          <w:sz w:val="20"/>
          <w:szCs w:val="20"/>
          <w:color w:val="auto"/>
        </w:rPr>
      </w:pPr>
    </w:p>
    <w:p>
      <w:pPr>
        <w:ind w:left="660" w:right="100" w:firstLine="648"/>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ind w:left="660" w:right="140" w:firstLine="648"/>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Canadian regulatory scheme applicable to a pension investment manager subject to the Canada Pension Plan Investment Board Act is substantially comparable to the regulatory scheme applicable to the functionally equivalent U.S. institution(s). I also undertake to furnish to the Securities and Exchange Commission staff, upon request, information that would otherwise be disclosed in a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36165L108</w:t>
      </w:r>
      <w:r>
        <w:rPr>
          <w:sz w:val="20"/>
          <w:szCs w:val="20"/>
          <w:color w:val="auto"/>
        </w:rPr>
        <w:tab/>
      </w:r>
      <w:r>
        <w:rPr>
          <w:rFonts w:ascii="Times New Roman" w:cs="Times New Roman" w:eastAsia="Times New Roman" w:hAnsi="Times New Roman"/>
          <w:sz w:val="17"/>
          <w:szCs w:val="17"/>
          <w:color w:val="auto"/>
        </w:rPr>
        <w:t>Page 5 of 5 Pages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CANADA PENSION PLAN INVESTMENT BOARD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Patrice Walch-Watson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Name:Patrice Walch-Watson</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Senior Managing Director, General</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decimal"/>
      <w:start w:val="1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2024-02-14T05:29:53Z</dcterms:created>
  <dcterms:modified xsi:type="dcterms:W3CDTF">2024-02-14T05:29:53Z</dcterms:modified>
</cp:coreProperties>
</file>