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567-6_4seq1.xml.htm"/>
      <w:bookmarkStart w:id="1" w:name="kstm26205676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Chen Kathy Hua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F4/F5, BLDG C, SUNLAND INTERNATIONAL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999 ZHOUHAI ROAD, PUDONG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GDS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62"/>
        <w:gridCol w:w="904"/>
        <w:gridCol w:w="773"/>
        <w:gridCol w:w="600"/>
        <w:gridCol w:w="351"/>
        <w:gridCol w:w="815"/>
        <w:gridCol w:w="463"/>
        <w:gridCol w:w="625"/>
        <w:gridCol w:w="1177"/>
        <w:gridCol w:w="1008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6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6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6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50,740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6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0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102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6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0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Options (Obligation to Sell)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0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Options (Obligation to Sell)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Options (Obligation to Sell)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09/18/2026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eight (8)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acquisition of ADSs upon settlement of Restricted Stock Unit ("RSU") awards fully vested immediately upon their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 options can be exercised early if the ADS price is above the exercise price, or closed if the reporting person chooses to buy back the share options.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Kathy Hua Chen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7457" TargetMode="External"/><Relationship Id="rId5" Type="http://schemas.openxmlformats.org/officeDocument/2006/relationships/hyperlink" Target="http://www.sec.gov/cgi-bin/browse-edgar?action=getcompany&amp;CIK=0001526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678</Words>
  <Characters>3665</Characters>
  <CharactersWithSpaces>4263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